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49CD5" w14:textId="77777777" w:rsidR="00D30863" w:rsidRDefault="00D30863" w:rsidP="00D30863">
      <w:pPr>
        <w:jc w:val="center"/>
        <w:rPr>
          <w:rFonts w:ascii="Calibri" w:hAnsi="Calibri" w:cs="Times New Roman"/>
          <w:b/>
          <w:bCs/>
          <w:color w:val="000000"/>
          <w:sz w:val="28"/>
          <w:szCs w:val="28"/>
        </w:rPr>
      </w:pPr>
      <w:r>
        <w:rPr>
          <w:rFonts w:ascii="Calibri" w:hAnsi="Calibri" w:cs="Times New Roman"/>
          <w:b/>
          <w:bCs/>
          <w:noProof/>
          <w:color w:val="000000"/>
          <w:sz w:val="28"/>
          <w:szCs w:val="28"/>
        </w:rPr>
        <w:drawing>
          <wp:inline distT="0" distB="0" distL="0" distR="0" wp14:anchorId="6FB60608" wp14:editId="35125DF6">
            <wp:extent cx="2436672" cy="10400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SA_LOGO-01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39444" cy="1083909"/>
                    </a:xfrm>
                    <a:prstGeom prst="rect">
                      <a:avLst/>
                    </a:prstGeom>
                  </pic:spPr>
                </pic:pic>
              </a:graphicData>
            </a:graphic>
          </wp:inline>
        </w:drawing>
      </w:r>
    </w:p>
    <w:p w14:paraId="56E17B08"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i/>
          <w:iCs/>
          <w:color w:val="000000"/>
          <w:sz w:val="28"/>
          <w:szCs w:val="28"/>
        </w:rPr>
        <w:t>Legislation Impacting Charter Schools (2019)</w:t>
      </w:r>
    </w:p>
    <w:p w14:paraId="2339D213" w14:textId="77777777" w:rsidR="00D30863" w:rsidRPr="00D30863" w:rsidRDefault="00D30863" w:rsidP="00D30863">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10"/>
        <w:gridCol w:w="2182"/>
        <w:gridCol w:w="1044"/>
        <w:gridCol w:w="1852"/>
        <w:gridCol w:w="3462"/>
      </w:tblGrid>
      <w:tr w:rsidR="00D30863" w:rsidRPr="00D30863" w14:paraId="0CB08C22" w14:textId="77777777" w:rsidTr="00D30863">
        <w:trPr>
          <w:trHeight w:val="62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7C3CF984"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Bill No.</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4A3D3C42"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Summary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A3D7AD5"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Sponsor</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139E0277"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Charter School Impact?</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vAlign w:val="center"/>
            <w:hideMark/>
          </w:tcPr>
          <w:p w14:paraId="2FD154D7" w14:textId="77777777" w:rsidR="00D30863" w:rsidRPr="00D30863" w:rsidRDefault="00D30863" w:rsidP="00D30863">
            <w:pPr>
              <w:jc w:val="center"/>
              <w:rPr>
                <w:rFonts w:ascii="Times New Roman" w:hAnsi="Times New Roman" w:cs="Times New Roman"/>
              </w:rPr>
            </w:pPr>
            <w:r w:rsidRPr="00D30863">
              <w:rPr>
                <w:rFonts w:ascii="Calibri" w:hAnsi="Calibri" w:cs="Times New Roman"/>
                <w:b/>
                <w:bCs/>
                <w:color w:val="000000"/>
                <w:sz w:val="22"/>
                <w:szCs w:val="22"/>
              </w:rPr>
              <w:t>Notes</w:t>
            </w:r>
          </w:p>
        </w:tc>
      </w:tr>
      <w:tr w:rsidR="00D30863" w:rsidRPr="00D30863" w14:paraId="2C9A990D" w14:textId="77777777" w:rsidTr="00D30863">
        <w:trPr>
          <w:trHeight w:val="80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FCA786" w14:textId="77777777" w:rsidR="00D30863" w:rsidRPr="00D30863" w:rsidRDefault="00D30863" w:rsidP="00D30863">
            <w:pPr>
              <w:jc w:val="center"/>
              <w:rPr>
                <w:rFonts w:ascii="Times New Roman" w:hAnsi="Times New Roman" w:cs="Times New Roman"/>
              </w:rPr>
            </w:pPr>
            <w:hyperlink r:id="rId5" w:history="1">
              <w:r w:rsidRPr="00D30863">
                <w:rPr>
                  <w:rFonts w:ascii="Calibri" w:hAnsi="Calibri" w:cs="Times New Roman"/>
                  <w:color w:val="0563C1"/>
                  <w:sz w:val="22"/>
                  <w:szCs w:val="22"/>
                  <w:u w:val="single"/>
                </w:rPr>
                <w:t>HB12</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6B3C234"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all public schools to post a sign containing a telephone number where child abuse reports can be provided.</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92E2EEA"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Williams, R.</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CAA1AD"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7A91514"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Not </w:t>
            </w:r>
            <w:proofErr w:type="spellStart"/>
            <w:r w:rsidRPr="00D30863">
              <w:rPr>
                <w:rFonts w:ascii="Calibri" w:hAnsi="Calibri" w:cs="Times New Roman"/>
                <w:color w:val="000000"/>
                <w:sz w:val="22"/>
                <w:szCs w:val="22"/>
              </w:rPr>
              <w:t>waivable</w:t>
            </w:r>
            <w:proofErr w:type="spellEnd"/>
            <w:r w:rsidRPr="00D30863">
              <w:rPr>
                <w:rFonts w:ascii="Calibri" w:hAnsi="Calibri" w:cs="Times New Roman"/>
                <w:color w:val="000000"/>
                <w:sz w:val="22"/>
                <w:szCs w:val="22"/>
              </w:rPr>
              <w:t>; must post signs.</w:t>
            </w:r>
          </w:p>
        </w:tc>
      </w:tr>
      <w:tr w:rsidR="00D30863" w:rsidRPr="00D30863" w14:paraId="7CE64E8F" w14:textId="77777777" w:rsidTr="00D30863">
        <w:trPr>
          <w:trHeight w:val="8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1EE5A12" w14:textId="77777777" w:rsidR="00D30863" w:rsidRPr="00D30863" w:rsidRDefault="00D30863" w:rsidP="00D30863">
            <w:pPr>
              <w:jc w:val="center"/>
              <w:rPr>
                <w:rFonts w:ascii="Times New Roman" w:hAnsi="Times New Roman" w:cs="Times New Roman"/>
              </w:rPr>
            </w:pPr>
            <w:hyperlink r:id="rId6" w:history="1">
              <w:r w:rsidRPr="00D30863">
                <w:rPr>
                  <w:rFonts w:ascii="Calibri" w:hAnsi="Calibri" w:cs="Times New Roman"/>
                  <w:color w:val="0563C1"/>
                  <w:sz w:val="22"/>
                  <w:szCs w:val="22"/>
                  <w:u w:val="single"/>
                </w:rPr>
                <w:t>HB30</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0022FEA"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AFY2019 Budget which includes $30K per school for school safety improvements.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EF519DF"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Ralston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BEE4F3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061A43B"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The AFY2019 Budget includes money for one-time grant awards to all schools--including charters--for the purpose of improving/increasing school safety ($30,000/school).  </w:t>
            </w:r>
          </w:p>
        </w:tc>
      </w:tr>
      <w:tr w:rsidR="00D30863" w:rsidRPr="00D30863" w14:paraId="6D98BE6C" w14:textId="77777777" w:rsidTr="00D30863">
        <w:trPr>
          <w:trHeight w:val="88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A60D011"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563C1"/>
                <w:sz w:val="22"/>
                <w:szCs w:val="22"/>
                <w:u w:val="single"/>
              </w:rPr>
              <w:t>HB31</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F1AE96D"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FY2020 Budget which includes a total of $3.5M for charter school facility grants ($2M in new funds).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679DEDB" w14:textId="77777777" w:rsidR="00D30863" w:rsidRPr="00D30863" w:rsidRDefault="00D30863" w:rsidP="00D30863">
            <w:pPr>
              <w:rPr>
                <w:rFonts w:ascii="Times New Roman" w:eastAsia="Times New Roman" w:hAnsi="Times New Roman" w:cs="Times New Roman"/>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C672C62" w14:textId="77777777" w:rsidR="00D30863" w:rsidRPr="00D30863" w:rsidRDefault="00D30863" w:rsidP="00D30863">
            <w:pPr>
              <w:rPr>
                <w:rFonts w:ascii="Times New Roman" w:eastAsia="Times New Roman" w:hAnsi="Times New Roman" w:cs="Times New Roman"/>
              </w:rPr>
            </w:pP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D1E879E"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The FY2020 Budget includes $3.5M for charter school facility grants; (these grants were created via HB430 in 2017 but not appropriated until now).   The FY2020 budget also contains $522M for teacher pay raises ($3000/teacher).</w:t>
            </w:r>
          </w:p>
          <w:p w14:paraId="67456DF8" w14:textId="77777777" w:rsidR="00D30863" w:rsidRPr="00D30863" w:rsidRDefault="00D30863" w:rsidP="00D30863">
            <w:pPr>
              <w:rPr>
                <w:rFonts w:ascii="Times New Roman" w:eastAsia="Times New Roman" w:hAnsi="Times New Roman" w:cs="Times New Roman"/>
              </w:rPr>
            </w:pPr>
          </w:p>
        </w:tc>
      </w:tr>
      <w:tr w:rsidR="00D30863" w:rsidRPr="00D30863" w14:paraId="4B43E825" w14:textId="77777777" w:rsidTr="00D30863">
        <w:trPr>
          <w:trHeight w:val="152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7CE34B1" w14:textId="77777777" w:rsidR="00D30863" w:rsidRPr="00D30863" w:rsidRDefault="00D30863" w:rsidP="00D30863">
            <w:pPr>
              <w:jc w:val="center"/>
              <w:rPr>
                <w:rFonts w:ascii="Times New Roman" w:hAnsi="Times New Roman" w:cs="Times New Roman"/>
              </w:rPr>
            </w:pPr>
            <w:hyperlink r:id="rId7" w:history="1">
              <w:r w:rsidRPr="00D30863">
                <w:rPr>
                  <w:rFonts w:ascii="Calibri" w:hAnsi="Calibri" w:cs="Times New Roman"/>
                  <w:color w:val="0563C1"/>
                  <w:sz w:val="22"/>
                  <w:szCs w:val="22"/>
                  <w:u w:val="single"/>
                </w:rPr>
                <w:t>HB59</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C81CBA"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Amends the residency requirement associated with public school enrollment; clarifies that schools with statewide attendance zones can convene board meetings telephonically.  </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02EEC8"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Belton</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F8F0EA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E31E5A6"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Allows children of active duty military personnel to register in a local school district prior to establishing residency (based on official military orders); allows students to enter a charter school lottery prior to establishing residency in the charter school's attendance zone (but requires proof of residency upon enrollment); allows state charter schools with statewide attendance zones to establish a quorum for board meetings telephonically/virtually.  </w:t>
            </w:r>
          </w:p>
        </w:tc>
      </w:tr>
      <w:tr w:rsidR="00D30863" w:rsidRPr="00D30863" w14:paraId="2135D4E5" w14:textId="77777777" w:rsidTr="00D30863">
        <w:trPr>
          <w:trHeight w:val="70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72DC14A" w14:textId="77777777" w:rsidR="00D30863" w:rsidRPr="00D30863" w:rsidRDefault="00D30863" w:rsidP="00D30863">
            <w:pPr>
              <w:jc w:val="center"/>
              <w:rPr>
                <w:rFonts w:ascii="Times New Roman" w:hAnsi="Times New Roman" w:cs="Times New Roman"/>
              </w:rPr>
            </w:pPr>
            <w:hyperlink r:id="rId8" w:history="1">
              <w:r w:rsidRPr="00D30863">
                <w:rPr>
                  <w:rFonts w:ascii="Calibri" w:hAnsi="Calibri" w:cs="Times New Roman"/>
                  <w:color w:val="0563C1"/>
                  <w:sz w:val="22"/>
                  <w:szCs w:val="22"/>
                  <w:u w:val="single"/>
                </w:rPr>
                <w:t>HB68</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15CF24D"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Prohibit certain entities (those that provide accreditation of elementary or secondary schools) from being student scholarship organizations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5C8333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Carson</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C618425"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No</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4176977"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N/A</w:t>
            </w:r>
          </w:p>
        </w:tc>
      </w:tr>
      <w:tr w:rsidR="00D30863" w:rsidRPr="00D30863" w14:paraId="63E80997" w14:textId="77777777" w:rsidTr="00D30863">
        <w:trPr>
          <w:trHeight w:val="52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93526CA" w14:textId="77777777" w:rsidR="00D30863" w:rsidRPr="00D30863" w:rsidRDefault="00D30863" w:rsidP="00D30863">
            <w:pPr>
              <w:jc w:val="center"/>
              <w:rPr>
                <w:rFonts w:ascii="Times New Roman" w:hAnsi="Times New Roman" w:cs="Times New Roman"/>
              </w:rPr>
            </w:pPr>
            <w:hyperlink r:id="rId9" w:history="1">
              <w:r w:rsidRPr="00D30863">
                <w:rPr>
                  <w:rFonts w:ascii="Calibri" w:hAnsi="Calibri" w:cs="Times New Roman"/>
                  <w:color w:val="0563C1"/>
                  <w:sz w:val="22"/>
                  <w:szCs w:val="22"/>
                  <w:u w:val="single"/>
                </w:rPr>
                <w:t>HB83</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71DE5CD"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Public schools must provide recess for students in kindergarten and grades one through five.</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105E22E"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Douglas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9C2F08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VETOED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6924182"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Had this not been vetoed, </w:t>
            </w: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xml:space="preserve"> would not have allowed charter schools to waive this requirement.</w:t>
            </w:r>
          </w:p>
        </w:tc>
      </w:tr>
      <w:tr w:rsidR="00D30863" w:rsidRPr="00D30863" w14:paraId="70D66F4F" w14:textId="77777777" w:rsidTr="00D30863">
        <w:trPr>
          <w:trHeight w:val="62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7C4DF50" w14:textId="77777777" w:rsidR="00D30863" w:rsidRPr="00D30863" w:rsidRDefault="00D30863" w:rsidP="00D30863">
            <w:pPr>
              <w:jc w:val="center"/>
              <w:rPr>
                <w:rFonts w:ascii="Times New Roman" w:hAnsi="Times New Roman" w:cs="Times New Roman"/>
              </w:rPr>
            </w:pPr>
            <w:hyperlink r:id="rId10" w:history="1">
              <w:r w:rsidRPr="00D30863">
                <w:rPr>
                  <w:rFonts w:ascii="Calibri" w:hAnsi="Calibri" w:cs="Times New Roman"/>
                  <w:color w:val="0563C1"/>
                  <w:sz w:val="22"/>
                  <w:szCs w:val="22"/>
                  <w:u w:val="single"/>
                </w:rPr>
                <w:t>HB130</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6B7EAC3"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Authorize the Georgia Foundation for Public Education to establish a nonprofit corporation to qualify as a public foundation.</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8B6077E"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Nix</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A4A3FA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No</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D7872BC"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N/A</w:t>
            </w:r>
          </w:p>
        </w:tc>
      </w:tr>
      <w:tr w:rsidR="00D30863" w:rsidRPr="00D30863" w14:paraId="521E1147" w14:textId="77777777" w:rsidTr="00D30863">
        <w:trPr>
          <w:trHeight w:val="8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D7921CF" w14:textId="77777777" w:rsidR="00D30863" w:rsidRPr="00D30863" w:rsidRDefault="00D30863" w:rsidP="00D30863">
            <w:pPr>
              <w:jc w:val="center"/>
              <w:rPr>
                <w:rFonts w:ascii="Times New Roman" w:hAnsi="Times New Roman" w:cs="Times New Roman"/>
              </w:rPr>
            </w:pPr>
            <w:hyperlink r:id="rId11" w:history="1">
              <w:r w:rsidRPr="00D30863">
                <w:rPr>
                  <w:rFonts w:ascii="Calibri" w:hAnsi="Calibri" w:cs="Times New Roman"/>
                  <w:color w:val="0563C1"/>
                  <w:sz w:val="22"/>
                  <w:szCs w:val="22"/>
                  <w:u w:val="single"/>
                </w:rPr>
                <w:t>HB459</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B12E2A1"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local boards of education to provide to the Dept. of Public safety the full name and driver’s license number of all employed school bus drivers.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E8D31FF" w14:textId="77777777" w:rsidR="00D30863" w:rsidRPr="00D30863" w:rsidRDefault="00D30863" w:rsidP="00D30863">
            <w:pPr>
              <w:jc w:val="center"/>
              <w:rPr>
                <w:rFonts w:ascii="Times New Roman" w:hAnsi="Times New Roman" w:cs="Times New Roman"/>
              </w:rPr>
            </w:pPr>
            <w:proofErr w:type="spellStart"/>
            <w:r w:rsidRPr="00D30863">
              <w:rPr>
                <w:rFonts w:ascii="Calibri" w:hAnsi="Calibri" w:cs="Times New Roman"/>
                <w:color w:val="000000"/>
                <w:sz w:val="22"/>
                <w:szCs w:val="22"/>
              </w:rPr>
              <w:t>Ehrhart</w:t>
            </w:r>
            <w:proofErr w:type="spellEnd"/>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9C3F8FA"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 for STATE CHARTER schools providing transportation and employing bus drivers.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E3353AE"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each local board of education to provide to the Dept. of Public Safety the full name and drivers license number of each person who is to be employed as a school bus driver.  Would require that this information be provided to the Dept. of Public Safety twice a year and would require the Dept. of Public Safety to maintain a data base of these names in order to verify if a potential candidates license has expired or if driving privileges have been suspended or revoked.</w:t>
            </w:r>
          </w:p>
        </w:tc>
      </w:tr>
      <w:tr w:rsidR="00D30863" w:rsidRPr="00D30863" w14:paraId="1DCEC7CD" w14:textId="77777777" w:rsidTr="00D30863">
        <w:trPr>
          <w:trHeight w:val="116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689AD2D" w14:textId="77777777" w:rsidR="00D30863" w:rsidRPr="00D30863" w:rsidRDefault="00D30863" w:rsidP="00D30863">
            <w:pPr>
              <w:jc w:val="center"/>
              <w:rPr>
                <w:rFonts w:ascii="Times New Roman" w:hAnsi="Times New Roman" w:cs="Times New Roman"/>
              </w:rPr>
            </w:pPr>
            <w:hyperlink r:id="rId12" w:history="1">
              <w:r w:rsidRPr="00D30863">
                <w:rPr>
                  <w:rFonts w:ascii="Calibri" w:hAnsi="Calibri" w:cs="Times New Roman"/>
                  <w:color w:val="0563C1"/>
                  <w:sz w:val="22"/>
                  <w:szCs w:val="22"/>
                  <w:u w:val="single"/>
                </w:rPr>
                <w:t>HB527</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AC59620"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Changes QBE program weights and student-teacher ratios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91D305B"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Dickey</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FD4C7A9"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No (this bill impacts all public schools in the same manner and does not substantively change any relevant aspect of QBE)</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0FC6580"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Trues up the ratios and weights in the QBE formula</w:t>
            </w:r>
          </w:p>
        </w:tc>
      </w:tr>
      <w:tr w:rsidR="00D30863" w:rsidRPr="00D30863" w14:paraId="62B81971" w14:textId="77777777" w:rsidTr="00D30863">
        <w:trPr>
          <w:trHeight w:val="162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D3D752" w14:textId="77777777" w:rsidR="00D30863" w:rsidRPr="00D30863" w:rsidRDefault="00D30863" w:rsidP="00D30863">
            <w:pPr>
              <w:jc w:val="center"/>
              <w:rPr>
                <w:rFonts w:ascii="Times New Roman" w:hAnsi="Times New Roman" w:cs="Times New Roman"/>
              </w:rPr>
            </w:pPr>
            <w:hyperlink r:id="rId13" w:history="1">
              <w:r w:rsidRPr="00D30863">
                <w:rPr>
                  <w:rFonts w:ascii="Calibri" w:hAnsi="Calibri" w:cs="Times New Roman"/>
                  <w:color w:val="0563C1"/>
                  <w:sz w:val="22"/>
                  <w:szCs w:val="22"/>
                  <w:u w:val="single"/>
                </w:rPr>
                <w:t>SB15</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9F82214"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periodic threat assessments to be done on buildings, facilities, and campuses by a person or agency approved by GEMA and Homeland Security</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F40496F"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Albers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04DFE05"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VETOED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6B16BF5C"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Had this not been vetoed, the provisions of this bill would not have been </w:t>
            </w:r>
            <w:proofErr w:type="spellStart"/>
            <w:r w:rsidRPr="00D30863">
              <w:rPr>
                <w:rFonts w:ascii="Calibri" w:hAnsi="Calibri" w:cs="Times New Roman"/>
                <w:color w:val="000000"/>
                <w:sz w:val="22"/>
                <w:szCs w:val="22"/>
              </w:rPr>
              <w:t>waivable</w:t>
            </w:r>
            <w:proofErr w:type="spellEnd"/>
            <w:r w:rsidRPr="00D30863">
              <w:rPr>
                <w:rFonts w:ascii="Calibri" w:hAnsi="Calibri" w:cs="Times New Roman"/>
                <w:color w:val="000000"/>
                <w:sz w:val="22"/>
                <w:szCs w:val="22"/>
              </w:rPr>
              <w:t xml:space="preserve">.  The bill adds requirements for school safety plans to address security issues in school safety zones, at school functions, and while transporting students.  Requires safety plans to be vetted by local law enforcement and filed with </w:t>
            </w: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requires schools to conduct "mass casualty" safety drills with local law enforcement and adds a new title for principals: safety coordinator.  </w:t>
            </w:r>
          </w:p>
        </w:tc>
      </w:tr>
      <w:tr w:rsidR="00D30863" w:rsidRPr="00D30863" w14:paraId="451DE920" w14:textId="77777777" w:rsidTr="00D30863">
        <w:trPr>
          <w:trHeight w:val="88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BB4E8FB" w14:textId="77777777" w:rsidR="00D30863" w:rsidRPr="00D30863" w:rsidRDefault="00D30863" w:rsidP="00D30863">
            <w:pPr>
              <w:jc w:val="center"/>
              <w:rPr>
                <w:rFonts w:ascii="Times New Roman" w:hAnsi="Times New Roman" w:cs="Times New Roman"/>
              </w:rPr>
            </w:pPr>
            <w:hyperlink r:id="rId14" w:history="1">
              <w:r w:rsidRPr="00D30863">
                <w:rPr>
                  <w:rFonts w:ascii="Calibri" w:hAnsi="Calibri" w:cs="Times New Roman"/>
                  <w:color w:val="0563C1"/>
                  <w:sz w:val="22"/>
                  <w:szCs w:val="22"/>
                  <w:u w:val="single"/>
                </w:rPr>
                <w:t>SB48</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65AB25B"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the identification of students with dyslexia; requires the Department of Education to make a dyslexia informational handbook available to local school systems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07950B6"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Martin, PK</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91A0F24"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 xml:space="preserve">Yes* (probably not </w:t>
            </w:r>
            <w:proofErr w:type="spellStart"/>
            <w:r w:rsidRPr="00D30863">
              <w:rPr>
                <w:rFonts w:ascii="Calibri" w:hAnsi="Calibri" w:cs="Times New Roman"/>
                <w:color w:val="000000"/>
                <w:sz w:val="22"/>
                <w:szCs w:val="22"/>
              </w:rPr>
              <w:t>waivable</w:t>
            </w:r>
            <w:proofErr w:type="spellEnd"/>
            <w:r w:rsidRPr="00D30863">
              <w:rPr>
                <w:rFonts w:ascii="Calibri" w:hAnsi="Calibri" w:cs="Times New Roman"/>
                <w:color w:val="000000"/>
                <w:sz w:val="22"/>
                <w:szCs w:val="22"/>
              </w:rPr>
              <w: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7C39453" w14:textId="77777777" w:rsidR="00D30863" w:rsidRPr="00D30863" w:rsidRDefault="00D30863" w:rsidP="00D30863">
            <w:pPr>
              <w:rPr>
                <w:rFonts w:ascii="Times New Roman" w:hAnsi="Times New Roman" w:cs="Times New Roman"/>
              </w:rPr>
            </w:pP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xml:space="preserve"> will create a handbook for schools to use re: evidence-based practices for instructing students with dyslexia. The dyslexia screening is not required until 2024-2025; in the meantime, the SBOE will create guidelines for such screenings, and the PSC will create/refine criteria related to a dyslexia endorsement for classroom teachers. (The state will appropriate funds associated with the costs of this screening.) </w:t>
            </w:r>
          </w:p>
        </w:tc>
      </w:tr>
      <w:tr w:rsidR="00D30863" w:rsidRPr="00D30863" w14:paraId="78357A34" w14:textId="77777777" w:rsidTr="00D30863">
        <w:trPr>
          <w:trHeight w:val="98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7855A93" w14:textId="77777777" w:rsidR="00D30863" w:rsidRPr="00D30863" w:rsidRDefault="00D30863" w:rsidP="00D30863">
            <w:pPr>
              <w:jc w:val="center"/>
              <w:rPr>
                <w:rFonts w:ascii="Times New Roman" w:hAnsi="Times New Roman" w:cs="Times New Roman"/>
              </w:rPr>
            </w:pPr>
            <w:hyperlink r:id="rId15" w:history="1">
              <w:r w:rsidRPr="00D30863">
                <w:rPr>
                  <w:rFonts w:ascii="Calibri" w:hAnsi="Calibri" w:cs="Times New Roman"/>
                  <w:color w:val="0563C1"/>
                  <w:sz w:val="22"/>
                  <w:szCs w:val="22"/>
                  <w:u w:val="single"/>
                </w:rPr>
                <w:t>SB60</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1F08D19"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Requires </w:t>
            </w: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xml:space="preserve"> to post relevant guidelines; requires schools to hold informational meetings and provide informational documents to students and parents.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61CDCD"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Martin, PK</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77210384"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890DB2F" w14:textId="77777777" w:rsidR="00D30863" w:rsidRPr="00D30863" w:rsidRDefault="00D30863" w:rsidP="00D30863">
            <w:pPr>
              <w:rPr>
                <w:rFonts w:ascii="Times New Roman" w:hAnsi="Times New Roman" w:cs="Times New Roman"/>
              </w:rPr>
            </w:pPr>
            <w:proofErr w:type="spellStart"/>
            <w:r w:rsidRPr="00D30863">
              <w:rPr>
                <w:rFonts w:ascii="Calibri" w:hAnsi="Calibri" w:cs="Times New Roman"/>
                <w:color w:val="000000"/>
                <w:sz w:val="22"/>
                <w:szCs w:val="22"/>
              </w:rPr>
              <w:t>Gadoe</w:t>
            </w:r>
            <w:proofErr w:type="spellEnd"/>
            <w:r w:rsidRPr="00D30863">
              <w:rPr>
                <w:rFonts w:ascii="Calibri" w:hAnsi="Calibri" w:cs="Times New Roman"/>
                <w:color w:val="000000"/>
                <w:sz w:val="22"/>
                <w:szCs w:val="22"/>
              </w:rPr>
              <w:t xml:space="preserve"> will create and post relevant information and guidelines to inform students and school personnel on the warning signs of sudden cardiac arrest.  A school shall hold an informational meeting TWICE per year regarding the symptoms and warning signs of sudden cardiac arrest.  Informational sheets on warning signs m</w:t>
            </w:r>
            <w:bookmarkStart w:id="0" w:name="_GoBack"/>
            <w:bookmarkEnd w:id="0"/>
            <w:r w:rsidRPr="00D30863">
              <w:rPr>
                <w:rFonts w:ascii="Calibri" w:hAnsi="Calibri" w:cs="Times New Roman"/>
                <w:color w:val="000000"/>
                <w:sz w:val="22"/>
                <w:szCs w:val="22"/>
              </w:rPr>
              <w:t>ust be provided to students and parents at said meetings.  Requires the removal of a student who passes out or faints during or immediately after participating in an interscholastic athletic activity by the school's athletic director, coach, or trainer.  In the absence of an athletic trainer, coaches observing CA symptoms MUST notify parents so they can seek treatment.  (Students who are removed from participation shall not be permitted to return to activity until such student is evaluated and cleared by a health care provider).</w:t>
            </w:r>
          </w:p>
        </w:tc>
      </w:tr>
      <w:tr w:rsidR="00D30863" w:rsidRPr="00D30863" w14:paraId="54690997" w14:textId="77777777" w:rsidTr="00D30863">
        <w:trPr>
          <w:trHeight w:val="70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69E1ED1" w14:textId="77777777" w:rsidR="00D30863" w:rsidRPr="00D30863" w:rsidRDefault="00D30863" w:rsidP="00D30863">
            <w:pPr>
              <w:jc w:val="center"/>
              <w:rPr>
                <w:rFonts w:ascii="Times New Roman" w:hAnsi="Times New Roman" w:cs="Times New Roman"/>
              </w:rPr>
            </w:pPr>
            <w:hyperlink r:id="rId16" w:history="1">
              <w:r w:rsidRPr="00D30863">
                <w:rPr>
                  <w:rFonts w:ascii="Calibri" w:hAnsi="Calibri" w:cs="Times New Roman"/>
                  <w:color w:val="0563C1"/>
                  <w:sz w:val="22"/>
                  <w:szCs w:val="22"/>
                  <w:u w:val="single"/>
                </w:rPr>
                <w:t>SB83</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B111090"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Revises provisions relating to elective courses in History and Literature of the Old and New Testament Eras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8B55FF3"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Mullis</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12E95AA"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No (nothing is mandated)</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33070EC"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Allows for schools IF DESIRED to offer history/literature/art of Old and New Testaments as electives and charges GADOE with developing content standards for such courses; codifies the REACH scholarship (state charter schools can apply to be REACH scholarship districts).</w:t>
            </w:r>
          </w:p>
        </w:tc>
      </w:tr>
      <w:tr w:rsidR="00D30863" w:rsidRPr="00D30863" w14:paraId="6064DBB9" w14:textId="77777777" w:rsidTr="00D30863">
        <w:trPr>
          <w:trHeight w:val="700"/>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CA1C95C" w14:textId="77777777" w:rsidR="00D30863" w:rsidRPr="00D30863" w:rsidRDefault="00D30863" w:rsidP="00D30863">
            <w:pPr>
              <w:jc w:val="center"/>
              <w:rPr>
                <w:rFonts w:ascii="Times New Roman" w:hAnsi="Times New Roman" w:cs="Times New Roman"/>
              </w:rPr>
            </w:pPr>
            <w:hyperlink r:id="rId17" w:history="1">
              <w:r w:rsidRPr="00D30863">
                <w:rPr>
                  <w:rFonts w:ascii="Calibri" w:hAnsi="Calibri" w:cs="Times New Roman"/>
                  <w:color w:val="0563C1"/>
                  <w:sz w:val="22"/>
                  <w:szCs w:val="22"/>
                  <w:u w:val="single"/>
                </w:rPr>
                <w:t>SB108</w:t>
              </w:r>
            </w:hyperlink>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5B6B0A7"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Requires the creation and implementation of computer science courses in middle and high school.</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CA3D588"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Martin, PK</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0443743D"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CEF39F"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 xml:space="preserve">Beginning in 2022-2023, all </w:t>
            </w:r>
            <w:r w:rsidRPr="00D30863">
              <w:rPr>
                <w:rFonts w:ascii="Calibri" w:hAnsi="Calibri" w:cs="Times New Roman"/>
                <w:i/>
                <w:iCs/>
                <w:color w:val="000000"/>
                <w:sz w:val="22"/>
                <w:szCs w:val="22"/>
              </w:rPr>
              <w:t>school districts</w:t>
            </w:r>
            <w:r w:rsidRPr="00D30863">
              <w:rPr>
                <w:rFonts w:ascii="Calibri" w:hAnsi="Calibri" w:cs="Times New Roman"/>
                <w:color w:val="000000"/>
                <w:sz w:val="22"/>
                <w:szCs w:val="22"/>
              </w:rPr>
              <w:t xml:space="preserve"> (and each state charter school serving high school students) shall provide that at least one high school in its school system offers a course in computer science; beginning in 2022-2023, all school districts (and each state charter school serving middle school students) shall offer instruction in exploratory computer science.  Beginning in 2024-2025, all </w:t>
            </w:r>
            <w:r w:rsidRPr="00D30863">
              <w:rPr>
                <w:rFonts w:ascii="Calibri" w:hAnsi="Calibri" w:cs="Times New Roman"/>
                <w:i/>
                <w:iCs/>
                <w:color w:val="000000"/>
                <w:sz w:val="22"/>
                <w:szCs w:val="22"/>
              </w:rPr>
              <w:t>high schools</w:t>
            </w:r>
            <w:r w:rsidRPr="00D30863">
              <w:rPr>
                <w:rFonts w:ascii="Calibri" w:hAnsi="Calibri" w:cs="Times New Roman"/>
                <w:color w:val="000000"/>
                <w:sz w:val="22"/>
                <w:szCs w:val="22"/>
              </w:rPr>
              <w:t>--including local charter schools--must offer a course in computer science.  Schools may utilize Georgia Virtual School to offer said CS course.  *Some funding was appropriated to provide grants to districts, local charter schools, state charter schools, and/or high-quality service training providers for PD in CS.  </w:t>
            </w:r>
          </w:p>
        </w:tc>
      </w:tr>
      <w:tr w:rsidR="00D30863" w:rsidRPr="00D30863" w14:paraId="4984D801" w14:textId="77777777" w:rsidTr="00D30863">
        <w:trPr>
          <w:trHeight w:val="980"/>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184E348E" w14:textId="77777777" w:rsidR="00D30863" w:rsidRPr="00D30863" w:rsidRDefault="00D30863" w:rsidP="00D30863">
            <w:pPr>
              <w:jc w:val="center"/>
              <w:rPr>
                <w:rFonts w:ascii="Times New Roman" w:hAnsi="Times New Roman" w:cs="Times New Roman"/>
              </w:rPr>
            </w:pPr>
            <w:hyperlink r:id="rId18" w:history="1">
              <w:r w:rsidRPr="00D30863">
                <w:rPr>
                  <w:rFonts w:ascii="Calibri" w:hAnsi="Calibri" w:cs="Times New Roman"/>
                  <w:color w:val="0563C1"/>
                  <w:sz w:val="22"/>
                  <w:szCs w:val="22"/>
                  <w:u w:val="single"/>
                </w:rPr>
                <w:t>SB212</w:t>
              </w:r>
            </w:hyperlink>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0B42F817"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Authorizes the virtual administration of on-the-road driving skills testing</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3344F4B"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Martin, PK</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8D2A7EB" w14:textId="77777777" w:rsidR="00D30863" w:rsidRPr="00D30863" w:rsidRDefault="00D30863" w:rsidP="00D30863">
            <w:pPr>
              <w:jc w:val="center"/>
              <w:rPr>
                <w:rFonts w:ascii="Times New Roman" w:hAnsi="Times New Roman" w:cs="Times New Roman"/>
              </w:rPr>
            </w:pPr>
            <w:r w:rsidRPr="00D30863">
              <w:rPr>
                <w:rFonts w:ascii="Calibri" w:hAnsi="Calibri" w:cs="Times New Roman"/>
                <w:color w:val="000000"/>
                <w:sz w:val="22"/>
                <w:szCs w:val="22"/>
              </w:rPr>
              <w:t>Yes, but only if a school offers Driver's Education courses at the high school level</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480BAA3" w14:textId="77777777" w:rsidR="00D30863" w:rsidRPr="00D30863" w:rsidRDefault="00D30863" w:rsidP="00D30863">
            <w:pPr>
              <w:rPr>
                <w:rFonts w:ascii="Times New Roman" w:hAnsi="Times New Roman" w:cs="Times New Roman"/>
              </w:rPr>
            </w:pPr>
            <w:r w:rsidRPr="00D30863">
              <w:rPr>
                <w:rFonts w:ascii="Calibri" w:hAnsi="Calibri" w:cs="Times New Roman"/>
                <w:color w:val="000000"/>
                <w:sz w:val="22"/>
                <w:szCs w:val="22"/>
              </w:rPr>
              <w:t>Allows driver training course to administer the driver’s license test as long as the program is licensed by the State and six in-car hours of instruction are completed.</w:t>
            </w:r>
          </w:p>
        </w:tc>
      </w:tr>
    </w:tbl>
    <w:p w14:paraId="085F8192" w14:textId="77777777" w:rsidR="00D30863" w:rsidRPr="00D30863" w:rsidRDefault="00D30863" w:rsidP="00D30863">
      <w:pPr>
        <w:spacing w:after="240"/>
        <w:rPr>
          <w:rFonts w:ascii="Times New Roman" w:eastAsia="Times New Roman" w:hAnsi="Times New Roman" w:cs="Times New Roman"/>
        </w:rPr>
      </w:pPr>
      <w:r w:rsidRPr="00D30863">
        <w:rPr>
          <w:rFonts w:ascii="Times New Roman" w:eastAsia="Times New Roman" w:hAnsi="Times New Roman" w:cs="Times New Roman"/>
        </w:rPr>
        <w:br/>
      </w:r>
    </w:p>
    <w:p w14:paraId="52FA8465" w14:textId="77777777" w:rsidR="00DB64F8" w:rsidRDefault="00DB64F8"/>
    <w:sectPr w:rsidR="00DB64F8" w:rsidSect="008C1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63"/>
    <w:rsid w:val="008C1F3C"/>
    <w:rsid w:val="00D30863"/>
    <w:rsid w:val="00DB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5235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30863"/>
    <w:rPr>
      <w:color w:val="0563C1" w:themeColor="hyperlink"/>
      <w:u w:val="single"/>
    </w:rPr>
  </w:style>
  <w:style w:type="paragraph" w:styleId="NormalWeb">
    <w:name w:val="Normal (Web)"/>
    <w:basedOn w:val="Normal"/>
    <w:uiPriority w:val="99"/>
    <w:semiHidden/>
    <w:unhideWhenUsed/>
    <w:rsid w:val="00D30863"/>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35638">
      <w:bodyDiv w:val="1"/>
      <w:marLeft w:val="0"/>
      <w:marRight w:val="0"/>
      <w:marTop w:val="0"/>
      <w:marBottom w:val="0"/>
      <w:divBdr>
        <w:top w:val="none" w:sz="0" w:space="0" w:color="auto"/>
        <w:left w:val="none" w:sz="0" w:space="0" w:color="auto"/>
        <w:bottom w:val="none" w:sz="0" w:space="0" w:color="auto"/>
        <w:right w:val="none" w:sz="0" w:space="0" w:color="auto"/>
      </w:divBdr>
      <w:divsChild>
        <w:div w:id="573859248">
          <w:marLeft w:val="-108"/>
          <w:marRight w:val="0"/>
          <w:marTop w:val="0"/>
          <w:marBottom w:val="0"/>
          <w:divBdr>
            <w:top w:val="none" w:sz="0" w:space="0" w:color="auto"/>
            <w:left w:val="none" w:sz="0" w:space="0" w:color="auto"/>
            <w:bottom w:val="none" w:sz="0" w:space="0" w:color="auto"/>
            <w:right w:val="none" w:sz="0" w:space="0" w:color="auto"/>
          </w:divBdr>
        </w:div>
      </w:divsChild>
    </w:div>
    <w:div w:id="887109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legis.ga.gov/legislation/en-US/Display/20192020/HB/83" TargetMode="External"/><Relationship Id="rId20" Type="http://schemas.openxmlformats.org/officeDocument/2006/relationships/theme" Target="theme/theme1.xml"/><Relationship Id="rId10" Type="http://schemas.openxmlformats.org/officeDocument/2006/relationships/hyperlink" Target="http://www.legis.ga.gov/legislation/en-US/Display/20192020/HB/130" TargetMode="External"/><Relationship Id="rId11" Type="http://schemas.openxmlformats.org/officeDocument/2006/relationships/hyperlink" Target="http://www.legis.ga.gov/legislation/en-US/Display/20192020/HB/459" TargetMode="External"/><Relationship Id="rId12" Type="http://schemas.openxmlformats.org/officeDocument/2006/relationships/hyperlink" Target="http://www.legis.ga.gov/legislation/en-US/Display/20192020/HB/527" TargetMode="External"/><Relationship Id="rId13" Type="http://schemas.openxmlformats.org/officeDocument/2006/relationships/hyperlink" Target="http://www.legis.ga.gov/legislation/en-US/Display/20192020/SB/15" TargetMode="External"/><Relationship Id="rId14" Type="http://schemas.openxmlformats.org/officeDocument/2006/relationships/hyperlink" Target="http://www.legis.ga.gov/legislation/en-US/Display/20192020/SB/48" TargetMode="External"/><Relationship Id="rId15" Type="http://schemas.openxmlformats.org/officeDocument/2006/relationships/hyperlink" Target="http://www.legis.ga.gov/legislation/en-US/Display/20192020/SB/60" TargetMode="External"/><Relationship Id="rId16" Type="http://schemas.openxmlformats.org/officeDocument/2006/relationships/hyperlink" Target="http://www.legis.ga.gov/legislation/en-US/Display/20192020/SB/83" TargetMode="External"/><Relationship Id="rId17" Type="http://schemas.openxmlformats.org/officeDocument/2006/relationships/hyperlink" Target="http://www.legis.ga.gov/legislation/en-US/Display/20192020/SB/108" TargetMode="External"/><Relationship Id="rId18" Type="http://schemas.openxmlformats.org/officeDocument/2006/relationships/hyperlink" Target="http://www.legis.ga.gov/legislation/en-US/Display/20192020/SB/212"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www.legis.ga.gov/legislation/en-US/Display/20192020/HB/12" TargetMode="External"/><Relationship Id="rId6" Type="http://schemas.openxmlformats.org/officeDocument/2006/relationships/hyperlink" Target="http://www.legis.ga.gov/legislation/en-US/Display/20192020/HB/30" TargetMode="External"/><Relationship Id="rId7" Type="http://schemas.openxmlformats.org/officeDocument/2006/relationships/hyperlink" Target="http://www.legis.ga.gov/legislation/en-US/Display/20192020/HB/59" TargetMode="External"/><Relationship Id="rId8" Type="http://schemas.openxmlformats.org/officeDocument/2006/relationships/hyperlink" Target="http://www.legis.ga.gov/legislation/en-US/Display/20192020/HB/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1207</Words>
  <Characters>6885</Characters>
  <Application>Microsoft Macintosh Word</Application>
  <DocSecurity>0</DocSecurity>
  <Lines>57</Lines>
  <Paragraphs>16</Paragraphs>
  <ScaleCrop>false</ScaleCrop>
  <LinksUpToDate>false</LinksUpToDate>
  <CharactersWithSpaces>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2019-05-15T18:42:00Z</dcterms:created>
  <dcterms:modified xsi:type="dcterms:W3CDTF">2019-05-15T18:43:00Z</dcterms:modified>
</cp:coreProperties>
</file>